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157FFC" w:rsidP="00A83E5C">
                <w:pPr>
                  <w:rPr>
                    <w:rStyle w:val="CmzettnvChar"/>
                  </w:rPr>
                </w:pPr>
                <w:proofErr w:type="spellStart"/>
                <w:r w:rsidRPr="00157FFC">
                  <w:rPr>
                    <w:rStyle w:val="CmzettnvChar"/>
                  </w:rPr>
                  <w:t>Büdszenti</w:t>
                </w:r>
                <w:proofErr w:type="spellEnd"/>
                <w:r w:rsidRPr="00157FFC">
                  <w:rPr>
                    <w:rStyle w:val="CmzettnvChar"/>
                  </w:rPr>
                  <w:t xml:space="preserve"> Alexander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157FFC" w:rsidP="00A83E5C">
                <w:r w:rsidRPr="00157FFC">
                  <w:t>3121 Somoskőújfalu Sport utca 39.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157FFC" w:rsidP="00A83E5C">
                <w:pPr>
                  <w:rPr>
                    <w:rStyle w:val="CmzettnvChar"/>
                  </w:rPr>
                </w:pPr>
                <w:r w:rsidRPr="00157FFC">
                  <w:rPr>
                    <w:rStyle w:val="Hiperhivatkozs"/>
                  </w:rPr>
                  <w:t>ratali94@gmail.com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5939ED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157FFC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2018.11.30-án 18:17-kor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5939ED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5939ED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6"/>
        <w:gridCol w:w="7121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  <w:showingPlcHdr/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382B6E" w:rsidP="0085032C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C6F73" w:rsidRDefault="00BC6F73" w:rsidP="00194EC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BC6F73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javítsa a Vállalkozás megalapítása tevékenységet 2019. januárra a GANTT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diagrammal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és a Cash-flow-val összhangban!</w:t>
                </w:r>
              </w:p>
              <w:p w:rsidR="006236D2" w:rsidRDefault="006236D2" w:rsidP="00194EC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6236D2" w:rsidRDefault="006236D2" w:rsidP="00194EC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BC6F73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mobiltelefon esetében feltüntetett beszerzési ár (314 790 Ft) nem egyezik meg az ajánlatban szereplő legolcsóbb árral (310 000 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Ügyeljen arra, hogy az árakat pontosan az ajánlat alapján kell megadnia! Amennyiben módosul az eszköz költsége, az a Cash-flow C25 cellájában lévő összeget is módosítja, melynek következtében az összköltség is módosulni fog,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erre ügyeljen és szükség szerint javítsa/módosítsa 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Cash-flowt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BC6F73" w:rsidRDefault="00BC6F73" w:rsidP="00194EC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52A6E" w:rsidRDefault="00194EC8" w:rsidP="00194EC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194EC8">
                  <w:rPr>
                    <w:rFonts w:ascii="Times New Roman" w:eastAsia="Times New Roman" w:hAnsi="Times New Roman"/>
                    <w:color w:val="000000"/>
                    <w:sz w:val="24"/>
                  </w:rPr>
                  <w:t>Rendszeres beszállítók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 nem került kitöltésre,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  <w:p w:rsidR="00352A6E" w:rsidRDefault="00352A6E" w:rsidP="00194EC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52A6E" w:rsidRDefault="00352A6E" w:rsidP="00194EC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352A6E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javítsa a javítás, karbantartás összegét 2000 Ft-ra a Cash-flow-val összhangban! </w:t>
                </w:r>
              </w:p>
              <w:p w:rsidR="00BC6F73" w:rsidRDefault="00352A6E" w:rsidP="00194EC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táblázatban tüntesse fel a kamar</w:t>
                </w:r>
                <w:r w:rsidR="00BC6F73">
                  <w:rPr>
                    <w:rFonts w:ascii="Times New Roman" w:eastAsia="Times New Roman" w:hAnsi="Times New Roman"/>
                    <w:color w:val="000000"/>
                    <w:sz w:val="24"/>
                  </w:rPr>
                  <w:t>ai tagdíj 5000 Ft-os összegét valamint az Oktatás és továbbképzés tervezett költségét 50 000 Ft összegben (12 havi költségátlagot figyelembe véve)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3B535F" w:rsidRPr="00897555" w:rsidRDefault="00BC6F73" w:rsidP="00194EC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Megjegyzés oszlopban szövegesen is fejtse ki a táblázatban szerepeltetett összegeket!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5F2DFF" w:rsidRDefault="00BC6F73" w:rsidP="00BC6F7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Pályázati Felhívás 5.4 pontja alapján a megvalósítási időszakban egy időközi kifizetési igénylést nyújthat be,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ennek megfelelően a diagramot valamint a Cash-flow táblázatot is!</w:t>
                </w:r>
              </w:p>
              <w:p w:rsidR="005F2DFF" w:rsidRDefault="005F2DFF" w:rsidP="00BC6F7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5F2DFF" w:rsidP="00BC6F7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Tüntesse fel a diagramban az Oktatás és továbbképzés tervezett ütemezését is a Cash-flow-val összhangban!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5F2DFF" w:rsidP="005F2DFF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75. sorban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az Ön által igényb</w:t>
                </w:r>
                <w:r w:rsidR="0097520E">
                  <w:rPr>
                    <w:rFonts w:ascii="Times New Roman" w:eastAsia="Times New Roman" w:hAnsi="Times New Roman"/>
                    <w:color w:val="000000"/>
                    <w:sz w:val="24"/>
                  </w:rPr>
                  <w:t>ev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ett szolgáltatásokat is: </w:t>
                </w:r>
                <w:r w:rsidR="0097520E">
                  <w:rPr>
                    <w:rFonts w:ascii="Times New Roman" w:eastAsia="Times New Roman" w:hAnsi="Times New Roman"/>
                    <w:color w:val="000000"/>
                    <w:sz w:val="24"/>
                  </w:rPr>
                  <w:t>könyvelés, telekommunikációs szolgáltatás, biztosítás!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7520E" w:rsidRDefault="0097520E" w:rsidP="0097520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Pályázati Felhívás 5.4 pontja alapján a megvalósítási időszakban egy időközi kifizetési igénylést nyújthat be,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ennek megfelelően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Cash-flow táblázatot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97520E" w:rsidRDefault="0097520E" w:rsidP="0097520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97520E" w:rsidRDefault="0097520E" w:rsidP="0097520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25. sorban a C25 cellában (</w:t>
                </w:r>
                <w:r w:rsidRPr="0097520E">
                  <w:rPr>
                    <w:rFonts w:ascii="Times New Roman" w:eastAsia="Times New Roman" w:hAnsi="Times New Roman"/>
                    <w:color w:val="000000"/>
                    <w:sz w:val="24"/>
                  </w:rPr>
                  <w:t>141. Üzemi (üzleti) gépek, berendezések, felszerelések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) a Működési terv alapján 529 690 Ft-nak kell szerepelnie!</w:t>
                </w:r>
              </w:p>
              <w:p w:rsidR="0097520E" w:rsidRDefault="0097520E" w:rsidP="0097520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26. sorban a C26 cellában (</w:t>
                </w:r>
                <w:r w:rsidRPr="0097520E">
                  <w:rPr>
                    <w:rFonts w:ascii="Times New Roman" w:eastAsia="Times New Roman" w:hAnsi="Times New Roman"/>
                    <w:color w:val="000000"/>
                    <w:sz w:val="24"/>
                  </w:rPr>
                  <w:t>143. Irodai, igazgatási berendezések és felszerelések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) 300 824 Ft-ot szerepeltessen!</w:t>
                </w:r>
              </w:p>
              <w:p w:rsidR="0008566E" w:rsidRPr="00897555" w:rsidRDefault="0097520E" w:rsidP="0097520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30. sorban a C30 cellában (Eszközbeszerzés költségei - </w:t>
                </w:r>
                <w:r w:rsidRPr="0097520E">
                  <w:rPr>
                    <w:rFonts w:ascii="Times New Roman" w:eastAsia="Times New Roman" w:hAnsi="Times New Roman"/>
                    <w:color w:val="000000"/>
                    <w:sz w:val="24"/>
                  </w:rPr>
                  <w:t>141. Üzemi (üzleti) gépek, berendezések, felszerelések)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119 900 Ft-ot tüntessen fel (laptop költsége)!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5939ED" w:rsidRDefault="005939ED" w:rsidP="005939E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Kérem Önéletrajzát aláírt,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szkennelt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PDF formátumban csatolja üzleti terv</w:t>
                </w:r>
                <w:bookmarkStart w:id="1" w:name="_GoBack"/>
                <w:bookmarkEnd w:id="1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éhez!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74D05" w:rsidRPr="005939ED" w:rsidRDefault="00A9098A" w:rsidP="005939ED">
      <w:pPr>
        <w:jc w:val="both"/>
        <w:rPr>
          <w:b/>
          <w:color w:val="365F91" w:themeColor="accent1" w:themeShade="BF"/>
        </w:rPr>
        <w:sectPr w:rsidR="00A74D05" w:rsidRPr="005939ED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  <w:r w:rsidRPr="00297B74">
        <w:rPr>
          <w:b/>
          <w:color w:val="365F91" w:themeColor="accent1" w:themeShade="BF"/>
        </w:rPr>
        <w:lastRenderedPageBreak/>
        <w:t>Az Üzleti Tervéhez tett jav</w:t>
      </w:r>
      <w:r w:rsidR="005939ED">
        <w:rPr>
          <w:b/>
          <w:color w:val="365F91" w:themeColor="accent1" w:themeShade="BF"/>
        </w:rPr>
        <w:t>aslataink, egyéb észrevételeink</w:t>
      </w: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5939ED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5939ED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5939ED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5939E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5939E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5939ED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5939ED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57FFC"/>
    <w:rsid w:val="0017740E"/>
    <w:rsid w:val="00181F72"/>
    <w:rsid w:val="00187C29"/>
    <w:rsid w:val="00194EC8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52A6E"/>
    <w:rsid w:val="00364F6B"/>
    <w:rsid w:val="003739AA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939ED"/>
    <w:rsid w:val="005A46B8"/>
    <w:rsid w:val="005B4E07"/>
    <w:rsid w:val="005F2D3C"/>
    <w:rsid w:val="005F2DFF"/>
    <w:rsid w:val="00606F47"/>
    <w:rsid w:val="006073F3"/>
    <w:rsid w:val="006236D2"/>
    <w:rsid w:val="00625E79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7520E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C6F73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67F23-45CC-4B07-8AC8-E6571B66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990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3</cp:revision>
  <cp:lastPrinted>2017-09-27T09:11:00Z</cp:lastPrinted>
  <dcterms:created xsi:type="dcterms:W3CDTF">2018-12-04T07:26:00Z</dcterms:created>
  <dcterms:modified xsi:type="dcterms:W3CDTF">2018-12-04T08:32:00Z</dcterms:modified>
</cp:coreProperties>
</file>